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4) защита прав потребителей (в части предоставления коммунальных услуг, платных медицинских услуг);</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6) признание гражданина безработным и установление пособия по безработице;</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10) установление и оспаривание отцовства (материнства), взыскание алиментов;</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lastRenderedPageBreak/>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 детей-инвалидов;</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11) реабилитация граждан, пострадавших от политических репрессий;</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12) ограничение дееспособности;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13) обжалование нарушений прав и свобод граждан при оказании психиатрической помощи;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14) медико-социальная экспертиза и реабилитация инвалидов;</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15) обжалование во внесудебном порядке актов органов государственной власти, органов местного самоуправления и должностных лиц;</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16) нарушение порядка и условий предоставления льгот и субсидий;</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17)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18) защита прав ветеранов Великой Отечественной войны, Героев Российской Федерации, Героев Советского Союза, полных кавалеров ордена Славы, Героев Социалистического Труда, Героев Труда Российской Федерации, полных кавалеров ордена Трудовой Славы,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супруга (супруги) погибшего (умершего) участника Великой Отечественной войны (за исключением вопросов, связанных с предпринимательской деятельностью указанных лиц);</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19) установление фактов, имеющих юридическое значение для признания права на жилое помещение, признания и сохранения права на земельный участок, для назначения, перерасчета и взыскания страховых пенсий по старости, по инвалидности и по случаю потери кормильца;</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20) обеспечение денежным довольствием военнослужащих и предоставление им отдельных выплат в соответствии с Федеральным законом от 7 ноября 2011 года № 306-ФЗ «О денежном довольствии военнослужащих и предоставлении им отдельных выплат»;</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21) предоставление льгот, социальных гарантий и компенсаций участникам специальной военной операции и членам их семей;</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t>22) признание участников специальной военной операции (за исключением членов их семей) безвестно отсутствующими либо умершими;</w:t>
      </w:r>
    </w:p>
    <w:p w:rsidR="0002275D" w:rsidRDefault="0002275D" w:rsidP="0002275D">
      <w:pPr>
        <w:pStyle w:val="a3"/>
        <w:shd w:val="clear" w:color="auto" w:fill="FFFFFF"/>
        <w:spacing w:before="0" w:beforeAutospacing="0"/>
        <w:jc w:val="both"/>
        <w:rPr>
          <w:rFonts w:ascii="Open Sans" w:hAnsi="Open Sans" w:cs="Open Sans"/>
          <w:color w:val="212529"/>
          <w:sz w:val="21"/>
          <w:szCs w:val="21"/>
        </w:rPr>
      </w:pPr>
      <w:r>
        <w:rPr>
          <w:rFonts w:ascii="Open Sans" w:hAnsi="Open Sans" w:cs="Open Sans"/>
          <w:color w:val="212529"/>
          <w:sz w:val="21"/>
          <w:szCs w:val="21"/>
        </w:rPr>
        <w:lastRenderedPageBreak/>
        <w:t xml:space="preserve">23) предоставление льгот, социальных гарантий, компенсаций, иных мер социальной поддержки гражданам,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Open Sans" w:hAnsi="Open Sans" w:cs="Open Sans"/>
          <w:color w:val="212529"/>
          <w:sz w:val="21"/>
          <w:szCs w:val="21"/>
        </w:rPr>
        <w:t>Теча</w:t>
      </w:r>
      <w:proofErr w:type="spellEnd"/>
      <w:r>
        <w:rPr>
          <w:rFonts w:ascii="Open Sans" w:hAnsi="Open Sans" w:cs="Open Sans"/>
          <w:color w:val="212529"/>
          <w:sz w:val="21"/>
          <w:szCs w:val="21"/>
        </w:rPr>
        <w:t>, ядерных испытаний на Семипалатинском полигоне, граждане из подразделений особого риска.</w:t>
      </w:r>
    </w:p>
    <w:p w:rsidR="00525B24" w:rsidRDefault="00525B24">
      <w:bookmarkStart w:id="0" w:name="_GoBack"/>
      <w:bookmarkEnd w:id="0"/>
    </w:p>
    <w:sectPr w:rsidR="00525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5D"/>
    <w:rsid w:val="0002275D"/>
    <w:rsid w:val="0052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C5908-40A0-4BC8-832A-C0D9B2AB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2026-01-17T15:37:00Z</dcterms:created>
  <dcterms:modified xsi:type="dcterms:W3CDTF">2026-01-17T15:44:00Z</dcterms:modified>
</cp:coreProperties>
</file>